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97EDE" w14:textId="77777777" w:rsidR="00077772" w:rsidRPr="00B91FAE" w:rsidRDefault="00077772" w:rsidP="00077772">
      <w:pPr>
        <w:pStyle w:val="BodyText"/>
        <w:spacing w:after="0"/>
        <w:rPr>
          <w:sz w:val="6"/>
          <w:szCs w:val="6"/>
        </w:rPr>
      </w:pPr>
      <w:r w:rsidRPr="00B91FAE">
        <w:rPr>
          <w:noProof/>
        </w:rPr>
        <w:drawing>
          <wp:inline distT="0" distB="0" distL="0" distR="0" wp14:anchorId="2FABEC5F" wp14:editId="7197BB92">
            <wp:extent cx="1661840" cy="187991"/>
            <wp:effectExtent l="0" t="0" r="0" b="2540"/>
            <wp:docPr id="152061749" name="Picture 152061749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077772" w:rsidRPr="00B91FAE" w14:paraId="74F03363" w14:textId="77777777" w:rsidTr="001975D7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D4C757" w14:textId="77777777" w:rsidR="00077772" w:rsidRPr="00B91FAE" w:rsidRDefault="00077772" w:rsidP="001975D7">
            <w:pPr>
              <w:pStyle w:val="RefTableData"/>
            </w:pPr>
            <w:r w:rsidRPr="00B91FAE">
              <w:t>Reference number(s)</w:t>
            </w:r>
          </w:p>
        </w:tc>
      </w:tr>
      <w:tr w:rsidR="00077772" w:rsidRPr="00B91FAE" w14:paraId="47E87B2A" w14:textId="77777777" w:rsidTr="001975D7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0548D" w14:textId="77777777" w:rsidR="00077772" w:rsidRPr="00B91FAE" w:rsidRDefault="00077772" w:rsidP="001975D7">
            <w:pPr>
              <w:pStyle w:val="TableDataUnpadded"/>
              <w:rPr>
                <w:sz w:val="16"/>
                <w:szCs w:val="16"/>
              </w:rPr>
            </w:pPr>
            <w:r w:rsidRPr="00B91FAE">
              <w:rPr>
                <w:sz w:val="16"/>
                <w:szCs w:val="16"/>
              </w:rPr>
              <w:t>1370-A</w:t>
            </w:r>
          </w:p>
        </w:tc>
      </w:tr>
    </w:tbl>
    <w:p w14:paraId="3CC9E136" w14:textId="77777777" w:rsidR="00077772" w:rsidRPr="00C24206" w:rsidRDefault="00077772" w:rsidP="00077772">
      <w:pPr>
        <w:pStyle w:val="Heading1"/>
        <w:spacing w:after="0"/>
        <w:rPr>
          <w:sz w:val="22"/>
          <w:szCs w:val="22"/>
        </w:rPr>
        <w:sectPr w:rsidR="00077772" w:rsidRPr="00C24206" w:rsidSect="00077772">
          <w:headerReference w:type="default" r:id="rId12"/>
          <w:footerReference w:type="default" r:id="rId13"/>
          <w:footerReference w:type="first" r:id="rId14"/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27D19E20" w14:textId="38980CAA" w:rsidR="00077772" w:rsidRPr="00B91FAE" w:rsidRDefault="00814456" w:rsidP="00077772">
      <w:pPr>
        <w:pStyle w:val="Heading1"/>
      </w:pPr>
      <w:r>
        <w:t xml:space="preserve">Initial </w:t>
      </w:r>
      <w:r w:rsidR="00077772" w:rsidRPr="00B91FAE">
        <w:t>Prior Authorization</w:t>
      </w:r>
      <w:r w:rsidR="00077772" w:rsidRPr="00B91FAE">
        <w:br/>
        <w:t>Testosterone – Topical</w:t>
      </w:r>
      <w:r w:rsidR="007A3DF3">
        <w:t xml:space="preserve"> and </w:t>
      </w:r>
      <w:r w:rsidR="00077772">
        <w:t>N</w:t>
      </w:r>
      <w:r w:rsidR="00077772" w:rsidRPr="00B91FAE">
        <w:t>asal</w:t>
      </w:r>
    </w:p>
    <w:p w14:paraId="0417AEAA" w14:textId="77777777" w:rsidR="00E105C3" w:rsidRPr="00B91FAE" w:rsidRDefault="00E105C3" w:rsidP="001975D7">
      <w:pPr>
        <w:pStyle w:val="Heading2"/>
      </w:pPr>
      <w:r w:rsidRPr="00B91FAE">
        <w:t>Products Referenced by this Document</w:t>
      </w:r>
    </w:p>
    <w:p w14:paraId="1B94758E" w14:textId="77777777" w:rsidR="00E105C3" w:rsidRPr="00B91FAE" w:rsidRDefault="00E105C3" w:rsidP="00E105C3">
      <w:pPr>
        <w:pStyle w:val="BodyText"/>
      </w:pPr>
      <w:r w:rsidRPr="00B91FAE">
        <w:t xml:space="preserve">Drugs that are listed in the following table include both brand and generic and all dosage forms and strengths unless otherwise stated. </w:t>
      </w:r>
      <w:r w:rsidRPr="00BD1CC1">
        <w:t>O</w:t>
      </w:r>
      <w:r>
        <w:t>ver-the-counter</w:t>
      </w:r>
      <w:r w:rsidRPr="00BD1CC1">
        <w:t xml:space="preserve"> </w:t>
      </w:r>
      <w:r>
        <w:t xml:space="preserve">(OTC) </w:t>
      </w:r>
      <w:r w:rsidRPr="00B91FAE">
        <w:t>products are not included unless otherwise stated.</w:t>
      </w:r>
    </w:p>
    <w:tbl>
      <w:tblPr>
        <w:tblStyle w:val="TableGrid"/>
        <w:tblW w:w="1074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3580"/>
        <w:gridCol w:w="3580"/>
        <w:gridCol w:w="3580"/>
      </w:tblGrid>
      <w:tr w:rsidR="00966004" w:rsidRPr="002132C6" w14:paraId="11F92E07" w14:textId="77777777" w:rsidTr="00DB6F58">
        <w:trPr>
          <w:cantSplit/>
          <w:trHeight w:val="288"/>
          <w:tblHeader/>
        </w:trPr>
        <w:tc>
          <w:tcPr>
            <w:tcW w:w="3580" w:type="dxa"/>
            <w:vAlign w:val="center"/>
          </w:tcPr>
          <w:p w14:paraId="202CD0EC" w14:textId="77777777" w:rsidR="00966004" w:rsidRPr="002132C6" w:rsidRDefault="00966004" w:rsidP="00901623">
            <w:pPr>
              <w:pStyle w:val="TableHeader"/>
              <w:spacing w:after="0"/>
            </w:pPr>
            <w:r w:rsidRPr="002132C6">
              <w:t>Brand Name</w:t>
            </w:r>
          </w:p>
        </w:tc>
        <w:tc>
          <w:tcPr>
            <w:tcW w:w="3580" w:type="dxa"/>
            <w:vAlign w:val="center"/>
          </w:tcPr>
          <w:p w14:paraId="7257AB06" w14:textId="77777777" w:rsidR="00966004" w:rsidRPr="002132C6" w:rsidRDefault="00966004" w:rsidP="00901623">
            <w:pPr>
              <w:pStyle w:val="TableHeader"/>
              <w:spacing w:after="0"/>
            </w:pPr>
            <w:r w:rsidRPr="002132C6">
              <w:t>Generic Name</w:t>
            </w:r>
          </w:p>
        </w:tc>
        <w:tc>
          <w:tcPr>
            <w:tcW w:w="3580" w:type="dxa"/>
          </w:tcPr>
          <w:p w14:paraId="2848F559" w14:textId="77777777" w:rsidR="00966004" w:rsidRPr="002132C6" w:rsidRDefault="00966004" w:rsidP="00901623">
            <w:pPr>
              <w:pStyle w:val="TableHeader"/>
              <w:spacing w:after="0"/>
            </w:pPr>
            <w:r w:rsidRPr="0030755C">
              <w:t>Dosage Form</w:t>
            </w:r>
          </w:p>
        </w:tc>
      </w:tr>
      <w:tr w:rsidR="00966004" w:rsidRPr="002132C6" w14:paraId="54AAD21F" w14:textId="77777777" w:rsidTr="00DB6F58">
        <w:trPr>
          <w:cantSplit/>
        </w:trPr>
        <w:tc>
          <w:tcPr>
            <w:tcW w:w="3580" w:type="dxa"/>
          </w:tcPr>
          <w:p w14:paraId="1F677C17" w14:textId="77777777" w:rsidR="00966004" w:rsidRPr="002132C6" w:rsidRDefault="00966004" w:rsidP="00901623">
            <w:pPr>
              <w:pStyle w:val="TableDataUnpadded"/>
            </w:pPr>
            <w:proofErr w:type="spellStart"/>
            <w:r w:rsidRPr="002132C6">
              <w:t>Androgel</w:t>
            </w:r>
            <w:proofErr w:type="spellEnd"/>
          </w:p>
        </w:tc>
        <w:tc>
          <w:tcPr>
            <w:tcW w:w="3580" w:type="dxa"/>
          </w:tcPr>
          <w:p w14:paraId="60104503" w14:textId="77777777" w:rsidR="00966004" w:rsidRPr="002132C6" w:rsidRDefault="00966004" w:rsidP="00901623">
            <w:pPr>
              <w:pStyle w:val="TableDataUnpadded"/>
            </w:pPr>
            <w:r w:rsidRPr="002132C6">
              <w:t xml:space="preserve">testosterone </w:t>
            </w:r>
          </w:p>
        </w:tc>
        <w:tc>
          <w:tcPr>
            <w:tcW w:w="3580" w:type="dxa"/>
          </w:tcPr>
          <w:p w14:paraId="6B3468F1" w14:textId="77777777" w:rsidR="00966004" w:rsidRPr="002132C6" w:rsidRDefault="00966004" w:rsidP="00901623">
            <w:pPr>
              <w:pStyle w:val="TableDataUnpadded"/>
            </w:pPr>
            <w:r w:rsidRPr="002132C6">
              <w:t>topical gel</w:t>
            </w:r>
          </w:p>
        </w:tc>
      </w:tr>
      <w:tr w:rsidR="00966004" w:rsidRPr="002132C6" w14:paraId="6D9A6DCA" w14:textId="77777777" w:rsidTr="00DB6F58">
        <w:trPr>
          <w:cantSplit/>
        </w:trPr>
        <w:tc>
          <w:tcPr>
            <w:tcW w:w="3580" w:type="dxa"/>
          </w:tcPr>
          <w:p w14:paraId="384BD0BF" w14:textId="77777777" w:rsidR="00966004" w:rsidRPr="002132C6" w:rsidRDefault="00966004" w:rsidP="00901623">
            <w:pPr>
              <w:pStyle w:val="TableDataUnpadded"/>
            </w:pPr>
            <w:proofErr w:type="spellStart"/>
            <w:r w:rsidRPr="002132C6">
              <w:t>Fortesta</w:t>
            </w:r>
            <w:proofErr w:type="spellEnd"/>
          </w:p>
        </w:tc>
        <w:tc>
          <w:tcPr>
            <w:tcW w:w="3580" w:type="dxa"/>
          </w:tcPr>
          <w:p w14:paraId="4F93EEED" w14:textId="77777777" w:rsidR="00966004" w:rsidRPr="002132C6" w:rsidRDefault="00966004" w:rsidP="00901623">
            <w:pPr>
              <w:pStyle w:val="TableDataUnpadded"/>
            </w:pPr>
            <w:r w:rsidRPr="002132C6">
              <w:t xml:space="preserve">testosterone </w:t>
            </w:r>
          </w:p>
        </w:tc>
        <w:tc>
          <w:tcPr>
            <w:tcW w:w="3580" w:type="dxa"/>
          </w:tcPr>
          <w:p w14:paraId="7941D522" w14:textId="77777777" w:rsidR="00966004" w:rsidRPr="002132C6" w:rsidRDefault="00966004" w:rsidP="00901623">
            <w:pPr>
              <w:pStyle w:val="TableDataUnpadded"/>
            </w:pPr>
            <w:r w:rsidRPr="002132C6">
              <w:t>topical gel</w:t>
            </w:r>
          </w:p>
        </w:tc>
      </w:tr>
      <w:tr w:rsidR="00966004" w:rsidRPr="002132C6" w14:paraId="6F54A2FD" w14:textId="77777777" w:rsidTr="00DB6F58">
        <w:trPr>
          <w:cantSplit/>
        </w:trPr>
        <w:tc>
          <w:tcPr>
            <w:tcW w:w="3580" w:type="dxa"/>
          </w:tcPr>
          <w:p w14:paraId="5872C2B6" w14:textId="77777777" w:rsidR="00966004" w:rsidRPr="002132C6" w:rsidRDefault="00966004" w:rsidP="00901623">
            <w:pPr>
              <w:pStyle w:val="TableDataUnpadded"/>
            </w:pPr>
            <w:proofErr w:type="spellStart"/>
            <w:r w:rsidRPr="002132C6">
              <w:t>Natesto</w:t>
            </w:r>
            <w:proofErr w:type="spellEnd"/>
          </w:p>
        </w:tc>
        <w:tc>
          <w:tcPr>
            <w:tcW w:w="3580" w:type="dxa"/>
          </w:tcPr>
          <w:p w14:paraId="45A4A259" w14:textId="77777777" w:rsidR="00966004" w:rsidRPr="002132C6" w:rsidRDefault="00966004" w:rsidP="00901623">
            <w:pPr>
              <w:pStyle w:val="TableDataUnpadded"/>
            </w:pPr>
            <w:r w:rsidRPr="002132C6">
              <w:t xml:space="preserve">testosterone </w:t>
            </w:r>
          </w:p>
        </w:tc>
        <w:tc>
          <w:tcPr>
            <w:tcW w:w="3580" w:type="dxa"/>
          </w:tcPr>
          <w:p w14:paraId="57F50F31" w14:textId="77777777" w:rsidR="00966004" w:rsidRPr="002132C6" w:rsidRDefault="00966004" w:rsidP="00901623">
            <w:pPr>
              <w:pStyle w:val="TableDataUnpadded"/>
            </w:pPr>
            <w:r w:rsidRPr="002132C6">
              <w:t>nasal gel</w:t>
            </w:r>
          </w:p>
        </w:tc>
      </w:tr>
      <w:tr w:rsidR="00966004" w:rsidRPr="002132C6" w14:paraId="475A3278" w14:textId="77777777" w:rsidTr="00DB6F58">
        <w:trPr>
          <w:cantSplit/>
        </w:trPr>
        <w:tc>
          <w:tcPr>
            <w:tcW w:w="3580" w:type="dxa"/>
          </w:tcPr>
          <w:p w14:paraId="1CFDBC19" w14:textId="77777777" w:rsidR="00966004" w:rsidRPr="002132C6" w:rsidRDefault="00966004" w:rsidP="00901623">
            <w:pPr>
              <w:pStyle w:val="TableDataUnpadded"/>
            </w:pPr>
            <w:proofErr w:type="spellStart"/>
            <w:r w:rsidRPr="002132C6">
              <w:t>Testim</w:t>
            </w:r>
            <w:proofErr w:type="spellEnd"/>
          </w:p>
        </w:tc>
        <w:tc>
          <w:tcPr>
            <w:tcW w:w="3580" w:type="dxa"/>
          </w:tcPr>
          <w:p w14:paraId="4D25CC0B" w14:textId="77777777" w:rsidR="00966004" w:rsidRPr="002132C6" w:rsidRDefault="00966004" w:rsidP="00901623">
            <w:pPr>
              <w:pStyle w:val="TableDataUnpadded"/>
            </w:pPr>
            <w:r w:rsidRPr="002132C6">
              <w:t xml:space="preserve">testosterone </w:t>
            </w:r>
          </w:p>
        </w:tc>
        <w:tc>
          <w:tcPr>
            <w:tcW w:w="3580" w:type="dxa"/>
          </w:tcPr>
          <w:p w14:paraId="3E11AE58" w14:textId="77777777" w:rsidR="00966004" w:rsidRPr="002132C6" w:rsidRDefault="00966004" w:rsidP="00901623">
            <w:pPr>
              <w:pStyle w:val="TableDataUnpadded"/>
            </w:pPr>
            <w:r w:rsidRPr="002132C6">
              <w:t>topical gel</w:t>
            </w:r>
          </w:p>
        </w:tc>
      </w:tr>
      <w:tr w:rsidR="00966004" w:rsidRPr="002132C6" w14:paraId="5E38F029" w14:textId="77777777" w:rsidTr="00DB6F58">
        <w:trPr>
          <w:cantSplit/>
        </w:trPr>
        <w:tc>
          <w:tcPr>
            <w:tcW w:w="3580" w:type="dxa"/>
          </w:tcPr>
          <w:p w14:paraId="6A4F10E4" w14:textId="03826438" w:rsidR="00966004" w:rsidRPr="002132C6" w:rsidRDefault="00966004" w:rsidP="00901623">
            <w:pPr>
              <w:pStyle w:val="TableDataUnpadded"/>
            </w:pPr>
            <w:r w:rsidRPr="002132C6">
              <w:t xml:space="preserve">testosterone </w:t>
            </w:r>
            <w:r>
              <w:t>(all brands)</w:t>
            </w:r>
          </w:p>
        </w:tc>
        <w:tc>
          <w:tcPr>
            <w:tcW w:w="3580" w:type="dxa"/>
          </w:tcPr>
          <w:p w14:paraId="7647D8DC" w14:textId="77777777" w:rsidR="00966004" w:rsidRPr="002132C6" w:rsidRDefault="00966004" w:rsidP="00901623">
            <w:pPr>
              <w:pStyle w:val="TableDataUnpadded"/>
            </w:pPr>
            <w:r w:rsidRPr="002132C6">
              <w:t xml:space="preserve">testosterone </w:t>
            </w:r>
          </w:p>
        </w:tc>
        <w:tc>
          <w:tcPr>
            <w:tcW w:w="3580" w:type="dxa"/>
          </w:tcPr>
          <w:p w14:paraId="3D576E8D" w14:textId="77777777" w:rsidR="00966004" w:rsidRPr="002132C6" w:rsidRDefault="00966004" w:rsidP="00901623">
            <w:pPr>
              <w:pStyle w:val="TableDataUnpadded"/>
            </w:pPr>
            <w:r w:rsidRPr="002132C6">
              <w:t>topical solution</w:t>
            </w:r>
          </w:p>
        </w:tc>
      </w:tr>
      <w:tr w:rsidR="00966004" w:rsidRPr="002132C6" w14:paraId="50447455" w14:textId="77777777" w:rsidTr="00DB6F58">
        <w:trPr>
          <w:cantSplit/>
        </w:trPr>
        <w:tc>
          <w:tcPr>
            <w:tcW w:w="3580" w:type="dxa"/>
          </w:tcPr>
          <w:p w14:paraId="49624609" w14:textId="77777777" w:rsidR="00966004" w:rsidRPr="002132C6" w:rsidRDefault="00966004" w:rsidP="00901623">
            <w:pPr>
              <w:pStyle w:val="TableDataUnpadded"/>
            </w:pPr>
            <w:proofErr w:type="spellStart"/>
            <w:r w:rsidRPr="002132C6">
              <w:t>Vogelxo</w:t>
            </w:r>
            <w:proofErr w:type="spellEnd"/>
          </w:p>
        </w:tc>
        <w:tc>
          <w:tcPr>
            <w:tcW w:w="3580" w:type="dxa"/>
          </w:tcPr>
          <w:p w14:paraId="5A25ABBF" w14:textId="77777777" w:rsidR="00966004" w:rsidRPr="002132C6" w:rsidRDefault="00966004" w:rsidP="00901623">
            <w:pPr>
              <w:pStyle w:val="TableDataUnpadded"/>
            </w:pPr>
            <w:r w:rsidRPr="002132C6">
              <w:t xml:space="preserve">testosterone </w:t>
            </w:r>
          </w:p>
        </w:tc>
        <w:tc>
          <w:tcPr>
            <w:tcW w:w="3580" w:type="dxa"/>
          </w:tcPr>
          <w:p w14:paraId="723AAE7A" w14:textId="77777777" w:rsidR="00966004" w:rsidRPr="002132C6" w:rsidRDefault="00966004" w:rsidP="00901623">
            <w:pPr>
              <w:pStyle w:val="TableDataUnpadded"/>
            </w:pPr>
            <w:r w:rsidRPr="002132C6">
              <w:t>topical gel</w:t>
            </w:r>
          </w:p>
        </w:tc>
      </w:tr>
    </w:tbl>
    <w:p w14:paraId="14CE6108" w14:textId="68EE24D6" w:rsidR="00FC1AAD" w:rsidRPr="00B91FAE" w:rsidRDefault="00ED052F" w:rsidP="00AA2A94">
      <w:pPr>
        <w:pStyle w:val="Heading2"/>
        <w:tabs>
          <w:tab w:val="left" w:pos="9540"/>
        </w:tabs>
      </w:pPr>
      <w:r w:rsidRPr="00B91FAE">
        <w:t>Indications</w:t>
      </w:r>
    </w:p>
    <w:p w14:paraId="134B5687" w14:textId="3C4B5C16" w:rsidR="00ED052F" w:rsidRPr="00B91FAE" w:rsidRDefault="00ED052F" w:rsidP="00240B7B">
      <w:pPr>
        <w:pStyle w:val="Heading3"/>
        <w:keepNext w:val="0"/>
      </w:pPr>
      <w:r w:rsidRPr="00B91FAE">
        <w:t>FDA-</w:t>
      </w:r>
      <w:r w:rsidR="0096677D">
        <w:t>a</w:t>
      </w:r>
      <w:r w:rsidRPr="00B91FAE">
        <w:t>pproved Indications</w:t>
      </w:r>
    </w:p>
    <w:p w14:paraId="528BB86F" w14:textId="7ACE40E3" w:rsidR="00EB3EEC" w:rsidRPr="00B91FAE" w:rsidRDefault="00EB3EEC" w:rsidP="003B18E2">
      <w:pPr>
        <w:pStyle w:val="Heading4"/>
        <w:spacing w:after="120"/>
        <w:rPr>
          <w:lang w:val="it-IT"/>
        </w:rPr>
      </w:pPr>
      <w:r w:rsidRPr="00B91FAE">
        <w:rPr>
          <w:lang w:val="it-IT"/>
        </w:rPr>
        <w:t xml:space="preserve">Androgel, Fortesta, Natesto, Testim, </w:t>
      </w:r>
      <w:r w:rsidR="00DA0C79">
        <w:rPr>
          <w:lang w:val="it-IT"/>
        </w:rPr>
        <w:t>T</w:t>
      </w:r>
      <w:r w:rsidRPr="00B91FAE">
        <w:rPr>
          <w:lang w:val="it-IT"/>
        </w:rPr>
        <w:t xml:space="preserve">estosterone </w:t>
      </w:r>
      <w:r w:rsidR="00DA0C79">
        <w:rPr>
          <w:lang w:val="it-IT"/>
        </w:rPr>
        <w:t>T</w:t>
      </w:r>
      <w:r w:rsidRPr="00B91FAE">
        <w:rPr>
          <w:lang w:val="it-IT"/>
        </w:rPr>
        <w:t xml:space="preserve">opical </w:t>
      </w:r>
      <w:r w:rsidR="00DA0C79">
        <w:rPr>
          <w:lang w:val="it-IT"/>
        </w:rPr>
        <w:t>G</w:t>
      </w:r>
      <w:r w:rsidRPr="00B91FAE">
        <w:rPr>
          <w:lang w:val="it-IT"/>
        </w:rPr>
        <w:t xml:space="preserve">el, </w:t>
      </w:r>
      <w:r w:rsidR="00DA0C79">
        <w:rPr>
          <w:lang w:val="it-IT"/>
        </w:rPr>
        <w:t>T</w:t>
      </w:r>
      <w:r w:rsidRPr="00B91FAE">
        <w:rPr>
          <w:lang w:val="it-IT"/>
        </w:rPr>
        <w:t xml:space="preserve">estosterone </w:t>
      </w:r>
      <w:r w:rsidR="00DA0C79">
        <w:rPr>
          <w:lang w:val="it-IT"/>
        </w:rPr>
        <w:t>T</w:t>
      </w:r>
      <w:r w:rsidRPr="00B91FAE">
        <w:rPr>
          <w:lang w:val="it-IT"/>
        </w:rPr>
        <w:t xml:space="preserve">opical </w:t>
      </w:r>
      <w:r w:rsidR="00DA0C79">
        <w:rPr>
          <w:lang w:val="it-IT"/>
        </w:rPr>
        <w:t>S</w:t>
      </w:r>
      <w:r w:rsidRPr="00B91FAE">
        <w:rPr>
          <w:lang w:val="it-IT"/>
        </w:rPr>
        <w:t>olution, Vogelxo</w:t>
      </w:r>
    </w:p>
    <w:p w14:paraId="0919CF1E" w14:textId="32BC7006" w:rsidR="00EB3EEC" w:rsidRPr="00B91FAE" w:rsidRDefault="00EB3EEC" w:rsidP="00EB3EEC">
      <w:pPr>
        <w:pStyle w:val="BodyText"/>
      </w:pPr>
      <w:r w:rsidRPr="00B91FAE">
        <w:t>Topical and nasal testosterone products are indicated for replacement therapy in adult males for conditions associated with a deficiency or absence of endogenous testosterone.</w:t>
      </w:r>
    </w:p>
    <w:p w14:paraId="4C434745" w14:textId="7A810046" w:rsidR="00ED052F" w:rsidRPr="007C3A7E" w:rsidRDefault="00EB3EEC" w:rsidP="007C3A7E">
      <w:pPr>
        <w:pStyle w:val="ListParagraph"/>
        <w:numPr>
          <w:ilvl w:val="0"/>
          <w:numId w:val="32"/>
        </w:numPr>
      </w:pPr>
      <w:r w:rsidRPr="007C3A7E">
        <w:t>Primary hypogonadism (congenital or acquired): testicular failure due to conditions such as cryptorchidism, bilateral torsion, orchitis, vanishing testis syndrome, orchiectomy, Klinefelter’s syndrome, chemotherapy, or toxic damage from alcohol or heavy metals.</w:t>
      </w:r>
      <w:r w:rsidRPr="007C3A7E">
        <w:rPr>
          <w:rFonts w:eastAsia="Arial Unicode MS" w:hint="eastAsia"/>
        </w:rPr>
        <w:t xml:space="preserve"> </w:t>
      </w:r>
      <w:r w:rsidRPr="007C3A7E">
        <w:t>These men usually have low serum testosterone concentrations and gonadotropins (follicle-stimulating hormone [FSH], luteinizing hormone [LH]) above the normal range</w:t>
      </w:r>
      <w:r w:rsidR="00ED052F" w:rsidRPr="007C3A7E">
        <w:t>.</w:t>
      </w:r>
    </w:p>
    <w:p w14:paraId="35CCD6FC" w14:textId="0A59105A" w:rsidR="00EB3EEC" w:rsidRPr="007C3A7E" w:rsidRDefault="00EB3EEC" w:rsidP="007C3A7E">
      <w:pPr>
        <w:pStyle w:val="ListParagraph"/>
        <w:numPr>
          <w:ilvl w:val="0"/>
          <w:numId w:val="32"/>
        </w:numPr>
      </w:pPr>
      <w:r w:rsidRPr="007C3A7E">
        <w:lastRenderedPageBreak/>
        <w:t xml:space="preserve">Hypogonadotropic hypogonadism (congenital or acquired): gonadotropin or luteinizing hormone-releasing hormone (LHRH) deficiency or pituitary-hypothalamic injury from tumors, trauma, or radiation. </w:t>
      </w:r>
      <w:r w:rsidRPr="007C3A7E">
        <w:rPr>
          <w:rFonts w:hint="eastAsia"/>
        </w:rPr>
        <w:t>These men have low testosterone serum concentrations but have gonadotropins in the normal or low range</w:t>
      </w:r>
      <w:r w:rsidRPr="007C3A7E">
        <w:t>.</w:t>
      </w:r>
    </w:p>
    <w:p w14:paraId="48085E54" w14:textId="5363EDD3" w:rsidR="009A5649" w:rsidRPr="00B91FAE" w:rsidRDefault="00A30ABB" w:rsidP="00766061">
      <w:pPr>
        <w:pStyle w:val="Heading5"/>
      </w:pPr>
      <w:r w:rsidRPr="00B91FAE">
        <w:t>Limitations of Use</w:t>
      </w:r>
      <w:r w:rsidR="00135D47">
        <w:t>:</w:t>
      </w:r>
    </w:p>
    <w:p w14:paraId="62E606C6" w14:textId="77777777" w:rsidR="00EB3EEC" w:rsidRPr="00135D47" w:rsidRDefault="00EB3EEC" w:rsidP="00135D47">
      <w:pPr>
        <w:pStyle w:val="ListParagraph"/>
        <w:numPr>
          <w:ilvl w:val="0"/>
          <w:numId w:val="45"/>
        </w:numPr>
      </w:pPr>
      <w:r w:rsidRPr="00135D47">
        <w:t xml:space="preserve">Safety and efficacy of topical and nasal testosterone products in men with “age-related hypogonadism” </w:t>
      </w:r>
      <w:bookmarkStart w:id="0" w:name="OLE_LINK27"/>
      <w:r w:rsidRPr="00135D47">
        <w:t>(also referred to as “late-onset hypogonadism”)</w:t>
      </w:r>
      <w:bookmarkEnd w:id="0"/>
      <w:r w:rsidRPr="00135D47">
        <w:t xml:space="preserve"> have not been established.</w:t>
      </w:r>
    </w:p>
    <w:p w14:paraId="2D9EB797" w14:textId="77777777" w:rsidR="00EB3EEC" w:rsidRPr="00135D47" w:rsidRDefault="00EB3EEC" w:rsidP="00135D47">
      <w:pPr>
        <w:pStyle w:val="ListParagraph"/>
        <w:numPr>
          <w:ilvl w:val="0"/>
          <w:numId w:val="45"/>
        </w:numPr>
      </w:pPr>
      <w:r w:rsidRPr="00135D47">
        <w:t>Safety and efficacy of topical and nasal testosterone products in males less than 18 years old have not been established.</w:t>
      </w:r>
    </w:p>
    <w:p w14:paraId="1A8AD4BB" w14:textId="0327433C" w:rsidR="009A5649" w:rsidRPr="00135D47" w:rsidRDefault="00EB3EEC" w:rsidP="003B18E2">
      <w:pPr>
        <w:pStyle w:val="ListParagraph"/>
        <w:numPr>
          <w:ilvl w:val="0"/>
          <w:numId w:val="45"/>
        </w:numPr>
        <w:spacing w:after="120"/>
      </w:pPr>
      <w:r w:rsidRPr="00135D47">
        <w:t>Topical testosterone products may have different doses, strengths</w:t>
      </w:r>
      <w:r w:rsidR="00C66885">
        <w:t>,</w:t>
      </w:r>
      <w:r w:rsidRPr="00135D47">
        <w:t xml:space="preserve"> or application instructions that may result in different systemic exposure</w:t>
      </w:r>
      <w:r w:rsidR="009A5649" w:rsidRPr="00135D47">
        <w:t>.</w:t>
      </w:r>
    </w:p>
    <w:p w14:paraId="0B5EC236" w14:textId="24D1F7F4" w:rsidR="0044763A" w:rsidRDefault="009F2EF1" w:rsidP="0093419F">
      <w:pPr>
        <w:pStyle w:val="Heading3"/>
      </w:pPr>
      <w:r w:rsidRPr="00B91FAE">
        <w:t>Compendial Uses</w:t>
      </w:r>
    </w:p>
    <w:p w14:paraId="5B165221" w14:textId="040FFE14" w:rsidR="0093419F" w:rsidRPr="0093419F" w:rsidRDefault="0093419F" w:rsidP="003B18E2">
      <w:pPr>
        <w:pStyle w:val="Heading4"/>
      </w:pPr>
      <w:proofErr w:type="spellStart"/>
      <w:r>
        <w:t>Androgel</w:t>
      </w:r>
      <w:proofErr w:type="spellEnd"/>
      <w:r>
        <w:t xml:space="preserve">, </w:t>
      </w:r>
      <w:proofErr w:type="spellStart"/>
      <w:r>
        <w:t>Fortesta</w:t>
      </w:r>
      <w:proofErr w:type="spellEnd"/>
      <w:r>
        <w:t xml:space="preserve">, </w:t>
      </w:r>
      <w:proofErr w:type="spellStart"/>
      <w:r>
        <w:t>Natesto</w:t>
      </w:r>
      <w:proofErr w:type="spellEnd"/>
      <w:r>
        <w:t xml:space="preserve">, </w:t>
      </w:r>
      <w:proofErr w:type="spellStart"/>
      <w:r>
        <w:t>Testim</w:t>
      </w:r>
      <w:proofErr w:type="spellEnd"/>
      <w:r>
        <w:t xml:space="preserve">, </w:t>
      </w:r>
      <w:r w:rsidR="00DA0C79">
        <w:t>T</w:t>
      </w:r>
      <w:r>
        <w:t xml:space="preserve">estosterone </w:t>
      </w:r>
      <w:r w:rsidR="00DA0C79">
        <w:t>T</w:t>
      </w:r>
      <w:r>
        <w:t xml:space="preserve">opical </w:t>
      </w:r>
      <w:r w:rsidR="00DA0C79">
        <w:t>G</w:t>
      </w:r>
      <w:r>
        <w:t xml:space="preserve">el, </w:t>
      </w:r>
      <w:r w:rsidR="00DA0C79">
        <w:t>T</w:t>
      </w:r>
      <w:r>
        <w:t xml:space="preserve">estosterone </w:t>
      </w:r>
      <w:r w:rsidR="00DA0C79">
        <w:t>T</w:t>
      </w:r>
      <w:r>
        <w:t xml:space="preserve">opical </w:t>
      </w:r>
      <w:r w:rsidR="00DA0C79">
        <w:t>S</w:t>
      </w:r>
      <w:r>
        <w:t xml:space="preserve">olution, </w:t>
      </w:r>
      <w:proofErr w:type="spellStart"/>
      <w:r>
        <w:t>Vogelxo</w:t>
      </w:r>
      <w:proofErr w:type="spellEnd"/>
    </w:p>
    <w:p w14:paraId="1D2D59C3" w14:textId="40277E5E" w:rsidR="00EB3EEC" w:rsidRPr="00B91FAE" w:rsidRDefault="00EB3EEC" w:rsidP="0092096D">
      <w:pPr>
        <w:pStyle w:val="BodyText"/>
      </w:pPr>
      <w:r w:rsidRPr="00B91FAE">
        <w:t>Gender dysphoria</w:t>
      </w:r>
      <w:r w:rsidR="00F52EA3">
        <w:rPr>
          <w:vertAlign w:val="superscript"/>
        </w:rPr>
        <w:t>9</w:t>
      </w:r>
      <w:r w:rsidRPr="00B91FAE">
        <w:rPr>
          <w:vertAlign w:val="superscript"/>
        </w:rPr>
        <w:t>,1</w:t>
      </w:r>
      <w:r w:rsidR="00F52EA3">
        <w:rPr>
          <w:vertAlign w:val="superscript"/>
        </w:rPr>
        <w:t>1</w:t>
      </w:r>
      <w:r w:rsidRPr="00B91FAE">
        <w:rPr>
          <w:vertAlign w:val="superscript"/>
        </w:rPr>
        <w:t>-1</w:t>
      </w:r>
      <w:r w:rsidR="00F52EA3">
        <w:rPr>
          <w:vertAlign w:val="superscript"/>
        </w:rPr>
        <w:t>3</w:t>
      </w:r>
      <w:r w:rsidRPr="00B91FAE">
        <w:t xml:space="preserve"> (also known as transgender and gender diverse (TGD) persons)</w:t>
      </w:r>
    </w:p>
    <w:p w14:paraId="50A38FBA" w14:textId="27676E09" w:rsidR="00FE0C63" w:rsidRPr="00B91FAE" w:rsidRDefault="00685107" w:rsidP="00E050E1">
      <w:pPr>
        <w:pStyle w:val="Heading2"/>
      </w:pPr>
      <w:r w:rsidRPr="00B91FAE">
        <w:t>Coverage Criteria</w:t>
      </w:r>
    </w:p>
    <w:p w14:paraId="3FFC864F" w14:textId="77777777" w:rsidR="00EB3EEC" w:rsidRPr="00B91FAE" w:rsidRDefault="00EB3EEC" w:rsidP="008E13CC">
      <w:pPr>
        <w:pStyle w:val="Heading3"/>
      </w:pPr>
      <w:r w:rsidRPr="00B91FAE">
        <w:t>Gender Dysphoria</w:t>
      </w:r>
    </w:p>
    <w:p w14:paraId="4B060FEE" w14:textId="2FB0F1AA" w:rsidR="00EB3EEC" w:rsidRPr="00B91FAE" w:rsidRDefault="00EB3EEC" w:rsidP="00EB3EEC">
      <w:pPr>
        <w:pStyle w:val="BodyText"/>
      </w:pPr>
      <w:r w:rsidRPr="00B91FAE">
        <w:t xml:space="preserve">Authorization may be granted when the requested drug is being prescribed for </w:t>
      </w:r>
      <w:r w:rsidRPr="0092096D">
        <w:t xml:space="preserve">gender dysphoria in a patient who is able to make an informed decision to engage in hormone therapy </w:t>
      </w:r>
      <w:r w:rsidRPr="00B91FAE">
        <w:t>when ALL of the following criteria are met:</w:t>
      </w:r>
    </w:p>
    <w:p w14:paraId="5DA51A09" w14:textId="4627A594" w:rsidR="00EB3EEC" w:rsidRPr="0092096D" w:rsidRDefault="00EB3EEC" w:rsidP="005103CD">
      <w:pPr>
        <w:pStyle w:val="ListParagraph"/>
        <w:numPr>
          <w:ilvl w:val="0"/>
          <w:numId w:val="39"/>
        </w:numPr>
      </w:pPr>
      <w:r w:rsidRPr="0092096D">
        <w:t>The requested drug is NOT being prescribed for age-related hypogonadism (also referred to as late-onset hypogonadism)</w:t>
      </w:r>
      <w:r w:rsidR="00712AE8">
        <w:t>.</w:t>
      </w:r>
      <w:r w:rsidR="00AA0E25">
        <w:t xml:space="preserve"> [</w:t>
      </w:r>
      <w:r w:rsidR="003F5A4A">
        <w:t xml:space="preserve">NOTE: </w:t>
      </w:r>
      <w:r w:rsidR="00AA0E25">
        <w:t xml:space="preserve">Safety and efficacy of testosterone products in patients with </w:t>
      </w:r>
      <w:r w:rsidR="00B643B6">
        <w:t>“</w:t>
      </w:r>
      <w:r w:rsidR="00AA0E25">
        <w:t>age-related hypogonadism” (also referred to as “late-onset hypogonadism”) have not be</w:t>
      </w:r>
      <w:r w:rsidR="00B643B6">
        <w:t>en</w:t>
      </w:r>
      <w:r w:rsidR="00AA0E25">
        <w:t xml:space="preserve"> established.]</w:t>
      </w:r>
    </w:p>
    <w:p w14:paraId="21E4A8C9" w14:textId="48B5DB5A" w:rsidR="00EB3EEC" w:rsidRPr="0092096D" w:rsidRDefault="00EB3EEC" w:rsidP="005103CD">
      <w:pPr>
        <w:pStyle w:val="ListParagraph"/>
        <w:numPr>
          <w:ilvl w:val="0"/>
          <w:numId w:val="39"/>
        </w:numPr>
      </w:pPr>
      <w:r w:rsidRPr="0092096D">
        <w:t>The patient’s comorbid conditions are reasonably controlled</w:t>
      </w:r>
      <w:r w:rsidR="00712AE8">
        <w:t>.</w:t>
      </w:r>
    </w:p>
    <w:p w14:paraId="5C2BD9F8" w14:textId="7319DE2E" w:rsidR="00EB3EEC" w:rsidRPr="0092096D" w:rsidRDefault="00EB3EEC" w:rsidP="005103CD">
      <w:pPr>
        <w:pStyle w:val="ListParagraph"/>
        <w:numPr>
          <w:ilvl w:val="0"/>
          <w:numId w:val="39"/>
        </w:numPr>
      </w:pPr>
      <w:r w:rsidRPr="0092096D">
        <w:t>The patient has been educated on ANY contraindications AND side effects to therapy</w:t>
      </w:r>
      <w:r w:rsidR="007761DF">
        <w:t>.</w:t>
      </w:r>
    </w:p>
    <w:p w14:paraId="1955ECB7" w14:textId="5FBADA13" w:rsidR="00EB3EEC" w:rsidRPr="0092096D" w:rsidRDefault="00EB3EEC" w:rsidP="005103CD">
      <w:pPr>
        <w:pStyle w:val="ListParagraph"/>
        <w:numPr>
          <w:ilvl w:val="0"/>
          <w:numId w:val="39"/>
        </w:numPr>
      </w:pPr>
      <w:r w:rsidRPr="0092096D">
        <w:t>Before the start of therapy, the patient has been informed of fertility preservation options</w:t>
      </w:r>
      <w:r w:rsidR="007761DF">
        <w:t>.</w:t>
      </w:r>
    </w:p>
    <w:p w14:paraId="1066F85B" w14:textId="7A07F8E7" w:rsidR="00EB3EEC" w:rsidRPr="005103CD" w:rsidRDefault="00EB3EEC" w:rsidP="005103CD">
      <w:pPr>
        <w:pStyle w:val="ListParagraph"/>
        <w:numPr>
          <w:ilvl w:val="0"/>
          <w:numId w:val="39"/>
        </w:numPr>
      </w:pPr>
      <w:r w:rsidRPr="005103CD">
        <w:t>If the patient is less than 18 years of age, the</w:t>
      </w:r>
      <w:r w:rsidR="00B36668">
        <w:t>n</w:t>
      </w:r>
      <w:r w:rsidRPr="005103CD">
        <w:t xml:space="preserve"> ALL of the following criteria</w:t>
      </w:r>
      <w:r w:rsidR="00B36668">
        <w:t xml:space="preserve"> are met</w:t>
      </w:r>
      <w:r w:rsidRPr="005103CD">
        <w:t>:</w:t>
      </w:r>
    </w:p>
    <w:p w14:paraId="6757553D" w14:textId="0A1EDF7B" w:rsidR="00EB3EEC" w:rsidRPr="005103CD" w:rsidRDefault="00EB3EEC" w:rsidP="005103CD">
      <w:pPr>
        <w:pStyle w:val="ListParagraph"/>
        <w:numPr>
          <w:ilvl w:val="1"/>
          <w:numId w:val="43"/>
        </w:numPr>
      </w:pPr>
      <w:r w:rsidRPr="005103CD">
        <w:t>The requested drug is being prescribed by</w:t>
      </w:r>
      <w:r w:rsidR="00232713">
        <w:t>,</w:t>
      </w:r>
      <w:r w:rsidRPr="005103CD">
        <w:t xml:space="preserve"> or in consultation with</w:t>
      </w:r>
      <w:r w:rsidR="00232713">
        <w:t>,</w:t>
      </w:r>
      <w:r w:rsidRPr="005103CD">
        <w:t xml:space="preserve"> a provider specialized in the care of transgender youth (e.g., pediatric endocrinologist, family or internal medicine physician, obstetrician-gynecologist), that has collaborated care with a mental health provider</w:t>
      </w:r>
      <w:r w:rsidR="007761DF">
        <w:t>.</w:t>
      </w:r>
    </w:p>
    <w:p w14:paraId="09FA6DEA" w14:textId="08AA7D42" w:rsidR="00EB3EEC" w:rsidRPr="005103CD" w:rsidRDefault="00EB3EEC" w:rsidP="005103CD">
      <w:pPr>
        <w:pStyle w:val="ListParagraph"/>
        <w:numPr>
          <w:ilvl w:val="1"/>
          <w:numId w:val="43"/>
        </w:numPr>
      </w:pPr>
      <w:r w:rsidRPr="005103CD">
        <w:t>The patient has reached, or has previously reached, Tanner stage 2 of puberty or greater</w:t>
      </w:r>
      <w:r w:rsidR="007761DF">
        <w:t>.</w:t>
      </w:r>
    </w:p>
    <w:p w14:paraId="1E5EABAC" w14:textId="77777777" w:rsidR="00EB3EEC" w:rsidRPr="00B91FAE" w:rsidRDefault="00EB3EEC" w:rsidP="008E13CC">
      <w:pPr>
        <w:pStyle w:val="Heading3"/>
      </w:pPr>
      <w:r w:rsidRPr="00B91FAE">
        <w:t>Primary or Hypogonadotropic Hypogonadism</w:t>
      </w:r>
    </w:p>
    <w:p w14:paraId="2751D2A7" w14:textId="104D9689" w:rsidR="00EB3EEC" w:rsidRPr="00B91FAE" w:rsidRDefault="00EB3EEC" w:rsidP="0092096D">
      <w:pPr>
        <w:pStyle w:val="BodyText"/>
      </w:pPr>
      <w:r w:rsidRPr="00B91FAE">
        <w:t xml:space="preserve">Authorization may be granted when the requested drug is being prescribed for </w:t>
      </w:r>
      <w:r w:rsidRPr="0092096D">
        <w:t xml:space="preserve">primary or hypogonadotropic hypogonadism </w:t>
      </w:r>
      <w:r w:rsidRPr="00B91FAE">
        <w:t>when ALL of the following criteria are met:</w:t>
      </w:r>
    </w:p>
    <w:p w14:paraId="68FC9C6F" w14:textId="1EE4A377" w:rsidR="00D74361" w:rsidRPr="005103CD" w:rsidRDefault="00D74361" w:rsidP="005103CD">
      <w:pPr>
        <w:pStyle w:val="ListParagraph"/>
        <w:numPr>
          <w:ilvl w:val="0"/>
          <w:numId w:val="42"/>
        </w:numPr>
      </w:pPr>
      <w:bookmarkStart w:id="1" w:name="_Hlk64387341"/>
      <w:r w:rsidRPr="005103CD">
        <w:t>The requested drug is NOT being prescribed for age-related hypogonadism (also referred to as late-onset hypogonadism)</w:t>
      </w:r>
      <w:r w:rsidR="007761DF">
        <w:t>.</w:t>
      </w:r>
      <w:r w:rsidR="00AA0E25">
        <w:t xml:space="preserve"> [</w:t>
      </w:r>
      <w:r w:rsidR="001775D9">
        <w:t xml:space="preserve">NOTE: </w:t>
      </w:r>
      <w:r w:rsidR="00AA0E25">
        <w:t xml:space="preserve">Safety and efficacy of testosterone products in patients with </w:t>
      </w:r>
      <w:r w:rsidR="00B36668">
        <w:t>“</w:t>
      </w:r>
      <w:r w:rsidR="00AA0E25">
        <w:t>age-related hypogonadism” (also referred to as “late-onset hypogonadism”) have not be</w:t>
      </w:r>
      <w:r w:rsidR="00B36668">
        <w:t>en</w:t>
      </w:r>
      <w:r w:rsidR="00AA0E25">
        <w:t xml:space="preserve"> established.]</w:t>
      </w:r>
    </w:p>
    <w:bookmarkEnd w:id="1"/>
    <w:p w14:paraId="3E0A4995" w14:textId="51E53A7A" w:rsidR="00D74361" w:rsidRPr="005103CD" w:rsidRDefault="00D74361" w:rsidP="005103CD">
      <w:pPr>
        <w:pStyle w:val="ListParagraph"/>
        <w:numPr>
          <w:ilvl w:val="0"/>
          <w:numId w:val="42"/>
        </w:numPr>
      </w:pPr>
      <w:r w:rsidRPr="005103CD">
        <w:t>Before the start of testosterone therapy, the patient has at least TWO confirmed low morning testosterone levels according to current practice guidelines or your standard lab reference values</w:t>
      </w:r>
      <w:r w:rsidR="007761DF">
        <w:t>.</w:t>
      </w:r>
    </w:p>
    <w:p w14:paraId="3A643EC3" w14:textId="3EA6D4A3" w:rsidR="00A501AC" w:rsidRPr="00B91FAE" w:rsidRDefault="00A501AC" w:rsidP="00A501AC">
      <w:pPr>
        <w:pStyle w:val="Heading2"/>
      </w:pPr>
      <w:r w:rsidRPr="00B91FAE">
        <w:t>Continuation of Therapy</w:t>
      </w:r>
    </w:p>
    <w:p w14:paraId="14579FF8" w14:textId="2C5F7CAC" w:rsidR="00D74361" w:rsidRPr="00B91FAE" w:rsidRDefault="00D74361" w:rsidP="008E13CC">
      <w:pPr>
        <w:pStyle w:val="Heading3"/>
      </w:pPr>
      <w:r w:rsidRPr="00B91FAE">
        <w:t>Gender Dysphoria</w:t>
      </w:r>
    </w:p>
    <w:p w14:paraId="32C8905D" w14:textId="2DDA9C89" w:rsidR="00A501AC" w:rsidRPr="00B91FAE" w:rsidRDefault="00D74361" w:rsidP="00D74361">
      <w:pPr>
        <w:pStyle w:val="BodyText"/>
      </w:pPr>
      <w:r w:rsidRPr="0092096D">
        <w:t xml:space="preserve">All patients (including new patients) requesting authorization for continuation of therapy must meet </w:t>
      </w:r>
      <w:r w:rsidR="00B36668">
        <w:t>all requirements in the coverage criteria section</w:t>
      </w:r>
      <w:r w:rsidR="00A501AC" w:rsidRPr="00B91FAE">
        <w:t>.</w:t>
      </w:r>
    </w:p>
    <w:p w14:paraId="7ED4F8DD" w14:textId="2872CFE3" w:rsidR="00D74361" w:rsidRPr="00B91FAE" w:rsidRDefault="00D74361" w:rsidP="008E13CC">
      <w:pPr>
        <w:pStyle w:val="Heading3"/>
      </w:pPr>
      <w:r w:rsidRPr="00B91FAE">
        <w:t>Primary or Hypogonadotropic Hypogonadism</w:t>
      </w:r>
    </w:p>
    <w:p w14:paraId="4F0F53B4" w14:textId="5F2C4BFD" w:rsidR="00D74361" w:rsidRPr="00B91FAE" w:rsidRDefault="00D74361" w:rsidP="00D74361">
      <w:pPr>
        <w:pStyle w:val="BodyText"/>
      </w:pPr>
      <w:r w:rsidRPr="00B91FAE">
        <w:t>Authorization may be granted when the requested drug is being prescribed for primary or hypogonadotropic hypogonadism when ALL of the following criteria are met:</w:t>
      </w:r>
    </w:p>
    <w:p w14:paraId="60B5D83B" w14:textId="36B3EEBD" w:rsidR="00D74361" w:rsidRPr="005103CD" w:rsidRDefault="00D74361" w:rsidP="005103CD">
      <w:pPr>
        <w:pStyle w:val="ListParagraph"/>
        <w:numPr>
          <w:ilvl w:val="0"/>
          <w:numId w:val="41"/>
        </w:numPr>
      </w:pPr>
      <w:r w:rsidRPr="005103CD">
        <w:t xml:space="preserve">The requested drug is NOT being prescribed for age-related hypogonadism </w:t>
      </w:r>
      <w:r w:rsidRPr="0092096D">
        <w:t>(also referred to as late-onset hypogonadism)</w:t>
      </w:r>
      <w:r w:rsidR="007761DF">
        <w:t>.</w:t>
      </w:r>
      <w:r w:rsidR="00AA0E25">
        <w:t xml:space="preserve"> [</w:t>
      </w:r>
      <w:r w:rsidR="006E7D6D">
        <w:t xml:space="preserve">NOTE: </w:t>
      </w:r>
      <w:r w:rsidR="00AA0E25">
        <w:t xml:space="preserve">Safety and efficacy of testosterone products in patients with </w:t>
      </w:r>
      <w:r w:rsidR="00B36668">
        <w:t>“</w:t>
      </w:r>
      <w:r w:rsidR="00AA0E25">
        <w:t>age-related hypogonadism” (also referred to as “late-onset hypogonadism”) have not be</w:t>
      </w:r>
      <w:r w:rsidR="00B36668">
        <w:t>en</w:t>
      </w:r>
      <w:r w:rsidR="00AA0E25">
        <w:t xml:space="preserve"> established.]</w:t>
      </w:r>
    </w:p>
    <w:p w14:paraId="16EB6CB3" w14:textId="768B65E6" w:rsidR="00D74361" w:rsidRPr="0092096D" w:rsidRDefault="00D74361" w:rsidP="005103CD">
      <w:pPr>
        <w:pStyle w:val="ListParagraph"/>
        <w:numPr>
          <w:ilvl w:val="0"/>
          <w:numId w:val="41"/>
        </w:numPr>
      </w:pPr>
      <w:r w:rsidRPr="0092096D">
        <w:t>Before the patient started testosterone therapy, the patient had a confirmed low morning testosterone level according to current practice guidelines or your standard lab reference values</w:t>
      </w:r>
      <w:r w:rsidR="007761DF">
        <w:t>.</w:t>
      </w:r>
    </w:p>
    <w:p w14:paraId="1F387316" w14:textId="4E4AA8F0" w:rsidR="00183B46" w:rsidRPr="00B91FAE" w:rsidRDefault="00183B46" w:rsidP="00183B46">
      <w:pPr>
        <w:pStyle w:val="Heading2"/>
      </w:pPr>
      <w:r w:rsidRPr="00B91FAE">
        <w:t>Duration of Approval (DOA)</w:t>
      </w:r>
    </w:p>
    <w:p w14:paraId="53A3DE4B" w14:textId="138F2E39" w:rsidR="00183B46" w:rsidRDefault="00D74361" w:rsidP="0092096D">
      <w:pPr>
        <w:pStyle w:val="ListParagraph"/>
        <w:numPr>
          <w:ilvl w:val="0"/>
          <w:numId w:val="38"/>
        </w:numPr>
      </w:pPr>
      <w:r w:rsidRPr="00B91FAE">
        <w:t>1370-A: DOA: 12 months</w:t>
      </w:r>
    </w:p>
    <w:p w14:paraId="10DA4309" w14:textId="0125BE24" w:rsidR="00FF66BF" w:rsidRPr="00B91FAE" w:rsidRDefault="00FF66BF" w:rsidP="00FF66BF">
      <w:pPr>
        <w:pStyle w:val="Heading2"/>
      </w:pPr>
      <w:r w:rsidRPr="00B91FAE">
        <w:t>References</w:t>
      </w:r>
    </w:p>
    <w:p w14:paraId="1D3F5D3C" w14:textId="77777777" w:rsidR="00D74361" w:rsidRPr="00B91FAE" w:rsidRDefault="00D74361" w:rsidP="005103CD">
      <w:pPr>
        <w:pStyle w:val="ReferenceOrdered"/>
        <w:numPr>
          <w:ilvl w:val="0"/>
          <w:numId w:val="2"/>
        </w:numPr>
        <w:ind w:left="360"/>
      </w:pPr>
      <w:proofErr w:type="spellStart"/>
      <w:r w:rsidRPr="00B91FAE">
        <w:t>Androgel</w:t>
      </w:r>
      <w:proofErr w:type="spellEnd"/>
      <w:r w:rsidRPr="00B91FAE">
        <w:t xml:space="preserve"> 1.62% [package insert]. Morristown, NJ: Ascend Therapeutics US, LLC; November 2020.</w:t>
      </w:r>
    </w:p>
    <w:p w14:paraId="22E8910E" w14:textId="77777777" w:rsidR="00D74361" w:rsidRPr="005103CD" w:rsidRDefault="00D74361" w:rsidP="005103CD">
      <w:pPr>
        <w:pStyle w:val="ReferenceOrdered"/>
        <w:numPr>
          <w:ilvl w:val="0"/>
          <w:numId w:val="2"/>
        </w:numPr>
        <w:ind w:left="360"/>
      </w:pPr>
      <w:proofErr w:type="spellStart"/>
      <w:r w:rsidRPr="00B91FAE">
        <w:t>Fortesta</w:t>
      </w:r>
      <w:proofErr w:type="spellEnd"/>
      <w:r w:rsidRPr="00B91FAE">
        <w:t xml:space="preserve"> [package insert]. Malvern, PA: Endo Pharmaceuticals Inc.; January 2022.</w:t>
      </w:r>
    </w:p>
    <w:p w14:paraId="4F1179C9" w14:textId="77777777" w:rsidR="00D74361" w:rsidRPr="005103CD" w:rsidRDefault="00D74361" w:rsidP="005103CD">
      <w:pPr>
        <w:pStyle w:val="ReferenceOrdered"/>
        <w:numPr>
          <w:ilvl w:val="0"/>
          <w:numId w:val="2"/>
        </w:numPr>
        <w:ind w:left="360"/>
      </w:pPr>
      <w:bookmarkStart w:id="2" w:name="OLE_LINK10"/>
      <w:proofErr w:type="spellStart"/>
      <w:r w:rsidRPr="005103CD">
        <w:t>Natesto</w:t>
      </w:r>
      <w:proofErr w:type="spellEnd"/>
      <w:r w:rsidRPr="005103CD">
        <w:t xml:space="preserve"> Nasal Gel [package insert]. Mississauga, ON: </w:t>
      </w:r>
      <w:proofErr w:type="spellStart"/>
      <w:r w:rsidRPr="005103CD">
        <w:t>Acerus</w:t>
      </w:r>
      <w:proofErr w:type="spellEnd"/>
      <w:r w:rsidRPr="005103CD">
        <w:t xml:space="preserve"> Pharmaceutical Corporation; December 2021.</w:t>
      </w:r>
      <w:bookmarkEnd w:id="2"/>
    </w:p>
    <w:p w14:paraId="6C79FA98" w14:textId="1B1DDCD9" w:rsidR="00D74361" w:rsidRPr="005103CD" w:rsidRDefault="00D74361" w:rsidP="005103CD">
      <w:pPr>
        <w:pStyle w:val="ReferenceOrdered"/>
        <w:numPr>
          <w:ilvl w:val="0"/>
          <w:numId w:val="2"/>
        </w:numPr>
        <w:ind w:left="360"/>
      </w:pPr>
      <w:bookmarkStart w:id="3" w:name="OLE_LINK11"/>
      <w:proofErr w:type="spellStart"/>
      <w:r w:rsidRPr="005103CD">
        <w:t>Testim</w:t>
      </w:r>
      <w:proofErr w:type="spellEnd"/>
      <w:r w:rsidRPr="005103CD">
        <w:t xml:space="preserve"> [package insert]. Malvern, PA: Endo </w:t>
      </w:r>
      <w:r w:rsidR="007516FE">
        <w:t>USA,</w:t>
      </w:r>
      <w:r w:rsidRPr="005103CD">
        <w:t>; August 2021.</w:t>
      </w:r>
      <w:bookmarkEnd w:id="3"/>
    </w:p>
    <w:p w14:paraId="1E8F8C9C" w14:textId="3764B54B" w:rsidR="00D74361" w:rsidRPr="00B91FAE" w:rsidRDefault="00D74361" w:rsidP="005103CD">
      <w:pPr>
        <w:pStyle w:val="ReferenceOrdered"/>
        <w:numPr>
          <w:ilvl w:val="0"/>
          <w:numId w:val="2"/>
        </w:numPr>
        <w:ind w:left="360"/>
      </w:pPr>
      <w:r w:rsidRPr="00B91FAE">
        <w:t xml:space="preserve">Testosterone Gel 1% [package insert]. Durham, NC: </w:t>
      </w:r>
      <w:proofErr w:type="spellStart"/>
      <w:r w:rsidRPr="00B91FAE">
        <w:t>Encube</w:t>
      </w:r>
      <w:proofErr w:type="spellEnd"/>
      <w:r w:rsidRPr="00B91FAE">
        <w:t xml:space="preserve"> </w:t>
      </w:r>
      <w:proofErr w:type="spellStart"/>
      <w:r w:rsidRPr="00B91FAE">
        <w:t>Ethicals</w:t>
      </w:r>
      <w:proofErr w:type="spellEnd"/>
      <w:r w:rsidRPr="00B91FAE">
        <w:t xml:space="preserve">, Inc.; </w:t>
      </w:r>
      <w:r w:rsidR="00AB6561">
        <w:t>July 2024</w:t>
      </w:r>
      <w:r w:rsidRPr="00B91FAE">
        <w:t>.</w:t>
      </w:r>
    </w:p>
    <w:p w14:paraId="04120C06" w14:textId="00C3B35A" w:rsidR="00D74361" w:rsidRPr="00B91FAE" w:rsidRDefault="00D74361" w:rsidP="005103CD">
      <w:pPr>
        <w:pStyle w:val="ReferenceOrdered"/>
        <w:numPr>
          <w:ilvl w:val="0"/>
          <w:numId w:val="2"/>
        </w:numPr>
        <w:ind w:left="360"/>
      </w:pPr>
      <w:r w:rsidRPr="005103CD">
        <w:t xml:space="preserve">Testosterone Topical Solution [package insert]. </w:t>
      </w:r>
      <w:r w:rsidR="00B94C6A">
        <w:t>Bedminster</w:t>
      </w:r>
      <w:r w:rsidRPr="005103CD">
        <w:t xml:space="preserve">, NJ: </w:t>
      </w:r>
      <w:r w:rsidR="00B94C6A">
        <w:t>Alembic</w:t>
      </w:r>
      <w:r w:rsidRPr="005103CD">
        <w:t xml:space="preserve"> Pharmaceuticals</w:t>
      </w:r>
      <w:r w:rsidR="00B94C6A">
        <w:t>,</w:t>
      </w:r>
      <w:r w:rsidRPr="005103CD">
        <w:t xml:space="preserve"> </w:t>
      </w:r>
      <w:r w:rsidR="00B94C6A">
        <w:t>Inc.</w:t>
      </w:r>
      <w:r w:rsidRPr="005103CD">
        <w:t xml:space="preserve">; </w:t>
      </w:r>
      <w:r w:rsidR="00B94C6A">
        <w:t>December</w:t>
      </w:r>
      <w:r w:rsidRPr="005103CD">
        <w:t xml:space="preserve"> 2023.</w:t>
      </w:r>
    </w:p>
    <w:p w14:paraId="4364035E" w14:textId="77777777" w:rsidR="00D74361" w:rsidRPr="005103CD" w:rsidRDefault="00D74361" w:rsidP="005103CD">
      <w:pPr>
        <w:pStyle w:val="ReferenceOrdered"/>
        <w:numPr>
          <w:ilvl w:val="0"/>
          <w:numId w:val="2"/>
        </w:numPr>
        <w:ind w:left="360"/>
      </w:pPr>
      <w:proofErr w:type="spellStart"/>
      <w:r w:rsidRPr="005103CD">
        <w:t>Vogelxo</w:t>
      </w:r>
      <w:proofErr w:type="spellEnd"/>
      <w:r w:rsidRPr="005103CD">
        <w:t xml:space="preserve"> [package insert]. Maple Grove, MN: </w:t>
      </w:r>
      <w:proofErr w:type="spellStart"/>
      <w:r w:rsidRPr="005103CD">
        <w:t>Upsher</w:t>
      </w:r>
      <w:proofErr w:type="spellEnd"/>
      <w:r w:rsidRPr="005103CD">
        <w:t>-Smith Laboratories, LLC; April 2020.</w:t>
      </w:r>
    </w:p>
    <w:p w14:paraId="6EE20809" w14:textId="7809CA37" w:rsidR="00D74361" w:rsidRPr="005103CD" w:rsidRDefault="00D74361" w:rsidP="005103CD">
      <w:pPr>
        <w:pStyle w:val="ReferenceOrdered"/>
        <w:numPr>
          <w:ilvl w:val="0"/>
          <w:numId w:val="2"/>
        </w:numPr>
        <w:ind w:left="360"/>
      </w:pPr>
      <w:bookmarkStart w:id="4" w:name="_Hlk63767477"/>
      <w:r w:rsidRPr="00B91FAE">
        <w:t xml:space="preserve">Lexicomp Online, AHFS DI (Adult and Pediatric) Online. Waltham, MA: UpToDate, Inc.; </w:t>
      </w:r>
      <w:r w:rsidR="00405051" w:rsidRPr="00B91FAE">
        <w:t>202</w:t>
      </w:r>
      <w:r w:rsidR="00405051">
        <w:t>5</w:t>
      </w:r>
      <w:r w:rsidRPr="00B91FAE">
        <w:t xml:space="preserve">. https://online.lexi.com. Accessed </w:t>
      </w:r>
      <w:r w:rsidR="00031A07">
        <w:t>February 3, 2025</w:t>
      </w:r>
      <w:r w:rsidRPr="00B91FAE">
        <w:t>.</w:t>
      </w:r>
    </w:p>
    <w:p w14:paraId="705B27C5" w14:textId="2A9F9CBD" w:rsidR="00D74361" w:rsidRPr="00B91FAE" w:rsidRDefault="00D74361" w:rsidP="005103CD">
      <w:pPr>
        <w:pStyle w:val="ReferenceOrdered"/>
        <w:numPr>
          <w:ilvl w:val="0"/>
          <w:numId w:val="2"/>
        </w:numPr>
        <w:ind w:left="360"/>
      </w:pPr>
      <w:r w:rsidRPr="00B91FAE">
        <w:t>Micromedex</w:t>
      </w:r>
      <w:r w:rsidR="003F6EE5">
        <w:t>®</w:t>
      </w:r>
      <w:r w:rsidRPr="00B91FAE">
        <w:t xml:space="preserve"> (electronic version). </w:t>
      </w:r>
      <w:proofErr w:type="spellStart"/>
      <w:r w:rsidRPr="00B91FAE">
        <w:t>Merative</w:t>
      </w:r>
      <w:proofErr w:type="spellEnd"/>
      <w:r w:rsidRPr="00B91FAE">
        <w:t>, Ann Arbor, Michigan, USA. Available at: https://www.micromedexsolutions.com/</w:t>
      </w:r>
      <w:r w:rsidRPr="005103CD">
        <w:t xml:space="preserve"> </w:t>
      </w:r>
      <w:r w:rsidRPr="00B91FAE">
        <w:t xml:space="preserve">(cited: </w:t>
      </w:r>
      <w:bookmarkEnd w:id="4"/>
      <w:r w:rsidR="00031A07">
        <w:t>02/03/2025</w:t>
      </w:r>
      <w:r w:rsidRPr="00B91FAE">
        <w:t>).</w:t>
      </w:r>
    </w:p>
    <w:p w14:paraId="74119CFC" w14:textId="77777777" w:rsidR="00D74361" w:rsidRPr="00B91FAE" w:rsidRDefault="00D74361" w:rsidP="005103CD">
      <w:pPr>
        <w:pStyle w:val="ReferenceOrdered"/>
        <w:numPr>
          <w:ilvl w:val="0"/>
          <w:numId w:val="2"/>
        </w:numPr>
        <w:ind w:left="360"/>
      </w:pPr>
      <w:r w:rsidRPr="00B91FAE">
        <w:t xml:space="preserve">Bhasin S, Brito JP, Cunningham GR, et al. Testosterone Therapy in Men with Hypogonadism: An Endocrine Society Clinical Practice Guideline. </w:t>
      </w:r>
      <w:r w:rsidRPr="005103CD">
        <w:t>J Clin Endocrinol Metab.</w:t>
      </w:r>
      <w:r w:rsidRPr="00B91FAE">
        <w:t xml:space="preserve"> 2018;103(5):1715-1744.</w:t>
      </w:r>
    </w:p>
    <w:p w14:paraId="62C06974" w14:textId="77777777" w:rsidR="00D74361" w:rsidRPr="00B91FAE" w:rsidRDefault="00D74361" w:rsidP="005103CD">
      <w:pPr>
        <w:pStyle w:val="ReferenceOrdered"/>
        <w:numPr>
          <w:ilvl w:val="0"/>
          <w:numId w:val="2"/>
        </w:numPr>
        <w:ind w:left="360"/>
      </w:pPr>
      <w:r w:rsidRPr="005103CD">
        <w:t xml:space="preserve">Coleman E, Radix AE, </w:t>
      </w:r>
      <w:proofErr w:type="spellStart"/>
      <w:r w:rsidRPr="005103CD">
        <w:t>Bouman</w:t>
      </w:r>
      <w:proofErr w:type="spellEnd"/>
      <w:r w:rsidRPr="005103CD">
        <w:t xml:space="preserve"> WP, et al. </w:t>
      </w:r>
      <w:r w:rsidRPr="00B91FAE">
        <w:t xml:space="preserve">Standards of Care for the Health of Transgender and Gender Diverse People, Version 8. </w:t>
      </w:r>
      <w:r w:rsidRPr="005103CD">
        <w:t xml:space="preserve">Int J </w:t>
      </w:r>
      <w:proofErr w:type="spellStart"/>
      <w:r w:rsidRPr="005103CD">
        <w:t>Transgend</w:t>
      </w:r>
      <w:proofErr w:type="spellEnd"/>
      <w:r w:rsidRPr="005103CD">
        <w:t xml:space="preserve"> Health.</w:t>
      </w:r>
      <w:r w:rsidRPr="00B91FAE">
        <w:t xml:space="preserve"> 2022;23(S1):S1-S258.</w:t>
      </w:r>
    </w:p>
    <w:p w14:paraId="41EAD7FA" w14:textId="77777777" w:rsidR="008E13CC" w:rsidRDefault="00D74361" w:rsidP="005103CD">
      <w:pPr>
        <w:pStyle w:val="ReferenceOrdered"/>
        <w:numPr>
          <w:ilvl w:val="0"/>
          <w:numId w:val="2"/>
        </w:numPr>
        <w:ind w:left="360"/>
      </w:pPr>
      <w:proofErr w:type="spellStart"/>
      <w:r w:rsidRPr="00B91FAE">
        <w:t>Hembree</w:t>
      </w:r>
      <w:proofErr w:type="spellEnd"/>
      <w:r w:rsidRPr="00B91FAE">
        <w:t xml:space="preserve"> WC, Cohen-</w:t>
      </w:r>
      <w:proofErr w:type="spellStart"/>
      <w:r w:rsidRPr="00B91FAE">
        <w:t>Kettenis</w:t>
      </w:r>
      <w:proofErr w:type="spellEnd"/>
      <w:r w:rsidRPr="00B91FAE">
        <w:t xml:space="preserve"> PT, </w:t>
      </w:r>
      <w:proofErr w:type="spellStart"/>
      <w:r w:rsidRPr="00B91FAE">
        <w:t>Gooren</w:t>
      </w:r>
      <w:proofErr w:type="spellEnd"/>
      <w:r w:rsidRPr="00B91FAE">
        <w:t xml:space="preserve"> L, et al. Endocrine Treatment of Gender Dysphoric/Gender-Incongruent Persons: An Endocrine Society Clinical Practice Guideline. </w:t>
      </w:r>
      <w:r w:rsidRPr="005103CD">
        <w:t>J Clin Endocrinol Metab.</w:t>
      </w:r>
      <w:r w:rsidRPr="00B91FAE">
        <w:t xml:space="preserve"> 2017;102(11):3869-3903.</w:t>
      </w:r>
    </w:p>
    <w:p w14:paraId="64FC2F62" w14:textId="70EE818B" w:rsidR="008E13CC" w:rsidRPr="00B91FAE" w:rsidRDefault="00D74361" w:rsidP="005103CD">
      <w:pPr>
        <w:pStyle w:val="ReferenceOrdered"/>
        <w:numPr>
          <w:ilvl w:val="0"/>
          <w:numId w:val="2"/>
        </w:numPr>
        <w:ind w:left="360"/>
      </w:pPr>
      <w:r w:rsidRPr="00B91FAE">
        <w:t xml:space="preserve">Health Care for Transgender and Gender Diverse Individuals. ACOG Committee Opinion No. 823. American College of Obstetricians and Gynecologists. </w:t>
      </w:r>
      <w:proofErr w:type="spellStart"/>
      <w:r w:rsidRPr="005103CD">
        <w:t>Obstet</w:t>
      </w:r>
      <w:proofErr w:type="spellEnd"/>
      <w:r w:rsidRPr="005103CD">
        <w:t xml:space="preserve"> Gynecol.</w:t>
      </w:r>
      <w:r w:rsidRPr="00B91FAE">
        <w:t xml:space="preserve"> 2021;137:e75-8</w:t>
      </w:r>
      <w:r w:rsidR="006D0FA4">
        <w:t>8.</w:t>
      </w:r>
    </w:p>
    <w:sectPr w:rsidR="008E13CC" w:rsidRPr="00B91FAE" w:rsidSect="007B4701">
      <w:headerReference w:type="even" r:id="rId15"/>
      <w:headerReference w:type="default" r:id="rId16"/>
      <w:headerReference w:type="first" r:id="rId17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AFFF0" w14:textId="77777777" w:rsidR="005620DE" w:rsidRDefault="005620DE">
      <w:r>
        <w:separator/>
      </w:r>
    </w:p>
  </w:endnote>
  <w:endnote w:type="continuationSeparator" w:id="0">
    <w:p w14:paraId="73427F83" w14:textId="77777777" w:rsidR="005620DE" w:rsidRDefault="005620DE">
      <w:r>
        <w:continuationSeparator/>
      </w:r>
    </w:p>
  </w:endnote>
  <w:endnote w:type="continuationNotice" w:id="1">
    <w:p w14:paraId="255A77B4" w14:textId="77777777" w:rsidR="005620DE" w:rsidRDefault="005620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61FB" w14:textId="5DC19CB2" w:rsidR="00077772" w:rsidRPr="00EC47B6" w:rsidRDefault="00077772" w:rsidP="007C3A7E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467D3" w:rsidRPr="00E467D3">
      <w:rPr>
        <w:rFonts w:cs="Arial"/>
        <w:noProof/>
        <w:sz w:val="16"/>
        <w:szCs w:val="16"/>
      </w:rPr>
      <w:t>Testosterone</w:t>
    </w:r>
    <w:r w:rsidR="00E467D3">
      <w:rPr>
        <w:rFonts w:cs="Arial"/>
        <w:noProof/>
        <w:snapToGrid w:val="0"/>
        <w:color w:val="000000"/>
        <w:sz w:val="16"/>
        <w:szCs w:val="16"/>
      </w:rPr>
      <w:t xml:space="preserve"> - Topical</w:t>
    </w:r>
    <w:r w:rsidR="00E467D3" w:rsidRPr="00E467D3">
      <w:rPr>
        <w:rFonts w:cs="Arial"/>
        <w:noProof/>
        <w:sz w:val="16"/>
        <w:szCs w:val="16"/>
      </w:rPr>
      <w:t xml:space="preserve"> and</w:t>
    </w:r>
    <w:r w:rsidR="00E467D3">
      <w:rPr>
        <w:rFonts w:cs="Arial"/>
        <w:noProof/>
        <w:snapToGrid w:val="0"/>
        <w:color w:val="000000"/>
        <w:sz w:val="16"/>
        <w:szCs w:val="16"/>
      </w:rPr>
      <w:t xml:space="preserve"> Nasal TGC PA 1370-A P03-2025.docx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33C55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07249CCC" w14:textId="77777777" w:rsidR="00077772" w:rsidRPr="00EC47B6" w:rsidRDefault="00077772" w:rsidP="007C3A7E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22A003F2" w14:textId="77777777" w:rsidR="00077772" w:rsidRPr="00F50D98" w:rsidRDefault="00077772" w:rsidP="00AD1BF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250DC" w14:textId="55C44EC6" w:rsidR="00077772" w:rsidRPr="00EC47B6" w:rsidRDefault="00077772" w:rsidP="007C3A7E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467D3">
      <w:rPr>
        <w:rFonts w:cs="Arial"/>
        <w:noProof/>
        <w:snapToGrid w:val="0"/>
        <w:color w:val="000000"/>
        <w:sz w:val="16"/>
        <w:szCs w:val="16"/>
      </w:rPr>
      <w:t>Testosterone -</w:t>
    </w:r>
    <w:r w:rsidR="00E467D3" w:rsidRPr="00E467D3">
      <w:rPr>
        <w:rFonts w:cs="Arial"/>
        <w:noProof/>
        <w:sz w:val="16"/>
        <w:szCs w:val="16"/>
      </w:rPr>
      <w:t xml:space="preserve"> Topical</w:t>
    </w:r>
    <w:r w:rsidR="00E467D3">
      <w:rPr>
        <w:rFonts w:cs="Arial"/>
        <w:noProof/>
        <w:snapToGrid w:val="0"/>
        <w:color w:val="000000"/>
        <w:sz w:val="16"/>
        <w:szCs w:val="16"/>
      </w:rPr>
      <w:t xml:space="preserve"> and Nasal TGC PA 1370-A P03-2025.docx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F270F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46B4E55B" w14:textId="77777777" w:rsidR="00077772" w:rsidRPr="00EC47B6" w:rsidRDefault="00077772" w:rsidP="007C3A7E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24CFC14E" w14:textId="77777777" w:rsidR="00077772" w:rsidRPr="00F50D98" w:rsidRDefault="00077772" w:rsidP="00AD1BF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8CFB6" w14:textId="77777777" w:rsidR="005620DE" w:rsidRDefault="005620DE">
      <w:r>
        <w:separator/>
      </w:r>
    </w:p>
  </w:footnote>
  <w:footnote w:type="continuationSeparator" w:id="0">
    <w:p w14:paraId="03C9BF6D" w14:textId="77777777" w:rsidR="005620DE" w:rsidRDefault="005620DE">
      <w:r>
        <w:continuationSeparator/>
      </w:r>
    </w:p>
  </w:footnote>
  <w:footnote w:type="continuationNotice" w:id="1">
    <w:p w14:paraId="3141DC3B" w14:textId="77777777" w:rsidR="005620DE" w:rsidRDefault="005620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77772" w:rsidRPr="00ED04EC" w14:paraId="5BDD68ED" w14:textId="77777777" w:rsidTr="008E5F3E">
      <w:trPr>
        <w:trHeight w:val="144"/>
        <w:jc w:val="right"/>
      </w:trPr>
      <w:tc>
        <w:tcPr>
          <w:tcW w:w="1854" w:type="dxa"/>
          <w:hideMark/>
        </w:tcPr>
        <w:p w14:paraId="6503BFAE" w14:textId="77777777" w:rsidR="00077772" w:rsidRPr="007C3A7E" w:rsidRDefault="00077772" w:rsidP="00183698">
          <w:pPr>
            <w:pStyle w:val="RefTableData"/>
          </w:pPr>
          <w:r w:rsidRPr="007C3A7E">
            <w:t>Reference number(s)</w:t>
          </w:r>
        </w:p>
      </w:tc>
    </w:tr>
    <w:tr w:rsidR="00077772" w:rsidRPr="00ED04EC" w14:paraId="58B653C8" w14:textId="77777777" w:rsidTr="008E5F3E">
      <w:trPr>
        <w:trHeight w:val="378"/>
        <w:jc w:val="right"/>
      </w:trPr>
      <w:tc>
        <w:tcPr>
          <w:tcW w:w="1854" w:type="dxa"/>
          <w:hideMark/>
        </w:tcPr>
        <w:p w14:paraId="580F2975" w14:textId="77777777" w:rsidR="00077772" w:rsidRPr="007C3A7E" w:rsidRDefault="00077772" w:rsidP="00183698">
          <w:pPr>
            <w:pStyle w:val="TableDataUnpadded"/>
            <w:rPr>
              <w:sz w:val="16"/>
              <w:szCs w:val="16"/>
            </w:rPr>
          </w:pPr>
          <w:r w:rsidRPr="007C3A7E">
            <w:rPr>
              <w:sz w:val="16"/>
              <w:szCs w:val="16"/>
            </w:rPr>
            <w:t>1370-A</w:t>
          </w:r>
        </w:p>
      </w:tc>
    </w:tr>
  </w:tbl>
  <w:p w14:paraId="65B8F72C" w14:textId="2303F6CE" w:rsidR="00077772" w:rsidRPr="007C3A7E" w:rsidRDefault="00077772" w:rsidP="00183698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A9C74" w14:textId="54CC7869" w:rsidR="00CB67B8" w:rsidRDefault="00CB67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445FF3" w:rsidRPr="00B91FAE" w14:paraId="34D5FD79" w14:textId="77777777" w:rsidTr="009B7721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247B9A2A" w14:textId="77777777" w:rsidR="00445FF3" w:rsidRPr="00B91FAE" w:rsidRDefault="00445FF3" w:rsidP="00445FF3">
          <w:pPr>
            <w:pStyle w:val="RefTableData"/>
          </w:pPr>
          <w:r w:rsidRPr="00B91FAE">
            <w:t>Reference number(s)</w:t>
          </w:r>
        </w:p>
      </w:tc>
    </w:tr>
    <w:tr w:rsidR="00445FF3" w:rsidRPr="00B91FAE" w14:paraId="478FADE5" w14:textId="77777777" w:rsidTr="009B7721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069D7FD" w14:textId="77777777" w:rsidR="00445FF3" w:rsidRPr="00B91FAE" w:rsidRDefault="00445FF3" w:rsidP="00445FF3">
          <w:pPr>
            <w:pStyle w:val="TableDataUnpadded"/>
            <w:rPr>
              <w:sz w:val="16"/>
              <w:szCs w:val="16"/>
            </w:rPr>
          </w:pPr>
          <w:r w:rsidRPr="00B91FAE">
            <w:rPr>
              <w:sz w:val="16"/>
              <w:szCs w:val="16"/>
            </w:rPr>
            <w:t>1370-A</w:t>
          </w:r>
        </w:p>
      </w:tc>
    </w:tr>
  </w:tbl>
  <w:p w14:paraId="73DD867E" w14:textId="43342B49" w:rsidR="00CB67B8" w:rsidRPr="003B18E2" w:rsidRDefault="00CB67B8" w:rsidP="00DA0C79">
    <w:pPr>
      <w:pStyle w:val="Header"/>
      <w:rPr>
        <w:sz w:val="6"/>
        <w:szCs w:val="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608A" w14:textId="6B8E7FDF" w:rsidR="00CB67B8" w:rsidRDefault="00CB67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219CF"/>
    <w:multiLevelType w:val="hybridMultilevel"/>
    <w:tmpl w:val="B742182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D25613"/>
    <w:multiLevelType w:val="singleLevel"/>
    <w:tmpl w:val="A3A22EFC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241A91"/>
    <w:multiLevelType w:val="hybridMultilevel"/>
    <w:tmpl w:val="B7421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B94EBA"/>
    <w:multiLevelType w:val="hybridMultilevel"/>
    <w:tmpl w:val="09905BBE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3362ED0"/>
    <w:multiLevelType w:val="hybridMultilevel"/>
    <w:tmpl w:val="F8FC71A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561252"/>
    <w:multiLevelType w:val="hybridMultilevel"/>
    <w:tmpl w:val="E9982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0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14528A"/>
    <w:multiLevelType w:val="hybridMultilevel"/>
    <w:tmpl w:val="97A6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A76260"/>
    <w:multiLevelType w:val="hybridMultilevel"/>
    <w:tmpl w:val="7778C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5413C3"/>
    <w:multiLevelType w:val="hybridMultilevel"/>
    <w:tmpl w:val="1AFC974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4" w15:restartNumberingAfterBreak="0">
    <w:nsid w:val="32D717C6"/>
    <w:multiLevelType w:val="hybridMultilevel"/>
    <w:tmpl w:val="742A0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AB77CF"/>
    <w:multiLevelType w:val="hybridMultilevel"/>
    <w:tmpl w:val="04347F3E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DF222E"/>
    <w:multiLevelType w:val="hybridMultilevel"/>
    <w:tmpl w:val="B742182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A1BAE"/>
    <w:multiLevelType w:val="hybridMultilevel"/>
    <w:tmpl w:val="8A88F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D0504"/>
    <w:multiLevelType w:val="hybridMultilevel"/>
    <w:tmpl w:val="F86E30A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4D29B8"/>
    <w:multiLevelType w:val="hybridMultilevel"/>
    <w:tmpl w:val="DB060F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6A3D31"/>
    <w:multiLevelType w:val="hybridMultilevel"/>
    <w:tmpl w:val="5E545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652831"/>
    <w:multiLevelType w:val="hybridMultilevel"/>
    <w:tmpl w:val="359E4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E84699"/>
    <w:multiLevelType w:val="hybridMultilevel"/>
    <w:tmpl w:val="1EBEA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38"/>
  </w:num>
  <w:num w:numId="3" w16cid:durableId="611589570">
    <w:abstractNumId w:val="3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6"/>
  </w:num>
  <w:num w:numId="15" w16cid:durableId="616722934">
    <w:abstractNumId w:val="12"/>
  </w:num>
  <w:num w:numId="16" w16cid:durableId="898320195">
    <w:abstractNumId w:val="26"/>
  </w:num>
  <w:num w:numId="17" w16cid:durableId="2128498676">
    <w:abstractNumId w:val="42"/>
  </w:num>
  <w:num w:numId="18" w16cid:durableId="299724409">
    <w:abstractNumId w:val="35"/>
  </w:num>
  <w:num w:numId="19" w16cid:durableId="214585573">
    <w:abstractNumId w:val="19"/>
  </w:num>
  <w:num w:numId="20" w16cid:durableId="1289816170">
    <w:abstractNumId w:val="20"/>
  </w:num>
  <w:num w:numId="21" w16cid:durableId="1066490929">
    <w:abstractNumId w:val="44"/>
  </w:num>
  <w:num w:numId="22" w16cid:durableId="1472481103">
    <w:abstractNumId w:val="37"/>
  </w:num>
  <w:num w:numId="23" w16cid:durableId="1997420403">
    <w:abstractNumId w:val="41"/>
  </w:num>
  <w:num w:numId="24" w16cid:durableId="33312838">
    <w:abstractNumId w:val="36"/>
  </w:num>
  <w:num w:numId="25" w16cid:durableId="507404939">
    <w:abstractNumId w:val="25"/>
  </w:num>
  <w:num w:numId="26" w16cid:durableId="1950313333">
    <w:abstractNumId w:val="30"/>
  </w:num>
  <w:num w:numId="27" w16cid:durableId="1866016584">
    <w:abstractNumId w:val="28"/>
  </w:num>
  <w:num w:numId="28" w16cid:durableId="69932785">
    <w:abstractNumId w:val="33"/>
  </w:num>
  <w:num w:numId="29" w16cid:durableId="1401444158">
    <w:abstractNumId w:val="23"/>
  </w:num>
  <w:num w:numId="30" w16cid:durableId="127749220">
    <w:abstractNumId w:val="18"/>
  </w:num>
  <w:num w:numId="31" w16cid:durableId="513422972">
    <w:abstractNumId w:val="11"/>
  </w:num>
  <w:num w:numId="32" w16cid:durableId="1973364118">
    <w:abstractNumId w:val="24"/>
  </w:num>
  <w:num w:numId="33" w16cid:durableId="191193757">
    <w:abstractNumId w:val="43"/>
  </w:num>
  <w:num w:numId="34" w16cid:durableId="357971170">
    <w:abstractNumId w:val="17"/>
  </w:num>
  <w:num w:numId="35" w16cid:durableId="1295482815">
    <w:abstractNumId w:val="15"/>
  </w:num>
  <w:num w:numId="36" w16cid:durableId="261455101">
    <w:abstractNumId w:val="32"/>
  </w:num>
  <w:num w:numId="37" w16cid:durableId="1339846207">
    <w:abstractNumId w:val="22"/>
  </w:num>
  <w:num w:numId="38" w16cid:durableId="547230838">
    <w:abstractNumId w:val="21"/>
  </w:num>
  <w:num w:numId="39" w16cid:durableId="2031371525">
    <w:abstractNumId w:val="13"/>
  </w:num>
  <w:num w:numId="40" w16cid:durableId="465584094">
    <w:abstractNumId w:val="40"/>
  </w:num>
  <w:num w:numId="41" w16cid:durableId="1366558672">
    <w:abstractNumId w:val="10"/>
  </w:num>
  <w:num w:numId="42" w16cid:durableId="1897814730">
    <w:abstractNumId w:val="29"/>
  </w:num>
  <w:num w:numId="43" w16cid:durableId="1070735140">
    <w:abstractNumId w:val="34"/>
  </w:num>
  <w:num w:numId="44" w16cid:durableId="1663779565">
    <w:abstractNumId w:val="27"/>
  </w:num>
  <w:num w:numId="45" w16cid:durableId="1258782292">
    <w:abstractNumId w:val="3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09B0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2A9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1A07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772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812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58E6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5D47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67A80"/>
    <w:rsid w:val="00170325"/>
    <w:rsid w:val="00173AB9"/>
    <w:rsid w:val="001747DB"/>
    <w:rsid w:val="00174F3B"/>
    <w:rsid w:val="00175B12"/>
    <w:rsid w:val="00175E93"/>
    <w:rsid w:val="00175F8E"/>
    <w:rsid w:val="00176167"/>
    <w:rsid w:val="00176A70"/>
    <w:rsid w:val="0017701E"/>
    <w:rsid w:val="00177020"/>
    <w:rsid w:val="001775D9"/>
    <w:rsid w:val="0018072F"/>
    <w:rsid w:val="00180A53"/>
    <w:rsid w:val="00181BB0"/>
    <w:rsid w:val="00182BBD"/>
    <w:rsid w:val="00182C96"/>
    <w:rsid w:val="00183698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C7B48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22BF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DAD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712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27BBD"/>
    <w:rsid w:val="00230182"/>
    <w:rsid w:val="002303E5"/>
    <w:rsid w:val="002326EC"/>
    <w:rsid w:val="00232713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A58"/>
    <w:rsid w:val="00240136"/>
    <w:rsid w:val="00240736"/>
    <w:rsid w:val="00240B7B"/>
    <w:rsid w:val="00240C70"/>
    <w:rsid w:val="0024185D"/>
    <w:rsid w:val="002423DE"/>
    <w:rsid w:val="00242E29"/>
    <w:rsid w:val="00242F54"/>
    <w:rsid w:val="00243017"/>
    <w:rsid w:val="0024305D"/>
    <w:rsid w:val="00243A39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13F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3838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594F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3F3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265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8E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515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39A"/>
    <w:rsid w:val="003F057E"/>
    <w:rsid w:val="003F1304"/>
    <w:rsid w:val="003F21EE"/>
    <w:rsid w:val="003F2C67"/>
    <w:rsid w:val="003F5824"/>
    <w:rsid w:val="003F5A4A"/>
    <w:rsid w:val="003F61E0"/>
    <w:rsid w:val="003F641B"/>
    <w:rsid w:val="003F6B36"/>
    <w:rsid w:val="003F6EE5"/>
    <w:rsid w:val="003F75BB"/>
    <w:rsid w:val="003F7A17"/>
    <w:rsid w:val="00401820"/>
    <w:rsid w:val="00402C8F"/>
    <w:rsid w:val="00402FED"/>
    <w:rsid w:val="00403087"/>
    <w:rsid w:val="004032A5"/>
    <w:rsid w:val="00405051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5FF3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6A1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DD0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7E69"/>
    <w:rsid w:val="005103CD"/>
    <w:rsid w:val="00511426"/>
    <w:rsid w:val="00511573"/>
    <w:rsid w:val="00512353"/>
    <w:rsid w:val="00512508"/>
    <w:rsid w:val="00513C29"/>
    <w:rsid w:val="00513FB7"/>
    <w:rsid w:val="00514A01"/>
    <w:rsid w:val="00515A0C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35D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1E3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17DF"/>
    <w:rsid w:val="00542E88"/>
    <w:rsid w:val="005444CF"/>
    <w:rsid w:val="00544D46"/>
    <w:rsid w:val="00545584"/>
    <w:rsid w:val="005462B1"/>
    <w:rsid w:val="0054666E"/>
    <w:rsid w:val="005471F8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5FD"/>
    <w:rsid w:val="00560623"/>
    <w:rsid w:val="0056090D"/>
    <w:rsid w:val="005615E4"/>
    <w:rsid w:val="005620DE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07E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6B3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1CA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713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DDE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0932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4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D6D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394"/>
    <w:rsid w:val="00711A79"/>
    <w:rsid w:val="007125BE"/>
    <w:rsid w:val="0071294F"/>
    <w:rsid w:val="00712AE8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13FA"/>
    <w:rsid w:val="007516FE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3E2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61DF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3DF3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701"/>
    <w:rsid w:val="007B4FD7"/>
    <w:rsid w:val="007B5F56"/>
    <w:rsid w:val="007B7B09"/>
    <w:rsid w:val="007B7C01"/>
    <w:rsid w:val="007C1B6C"/>
    <w:rsid w:val="007C29E1"/>
    <w:rsid w:val="007C2CEC"/>
    <w:rsid w:val="007C3391"/>
    <w:rsid w:val="007C3A7E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456"/>
    <w:rsid w:val="00814A2D"/>
    <w:rsid w:val="00817095"/>
    <w:rsid w:val="008171AA"/>
    <w:rsid w:val="0082041F"/>
    <w:rsid w:val="00821A95"/>
    <w:rsid w:val="00822077"/>
    <w:rsid w:val="008221DB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219"/>
    <w:rsid w:val="00832520"/>
    <w:rsid w:val="00832E80"/>
    <w:rsid w:val="00832EB5"/>
    <w:rsid w:val="00832F22"/>
    <w:rsid w:val="0083565A"/>
    <w:rsid w:val="00835A0B"/>
    <w:rsid w:val="00835D8E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C12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445E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68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6F89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2CC2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3CC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7AB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623"/>
    <w:rsid w:val="0090242B"/>
    <w:rsid w:val="00903866"/>
    <w:rsid w:val="00903B30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096D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C55"/>
    <w:rsid w:val="0093419F"/>
    <w:rsid w:val="00934A46"/>
    <w:rsid w:val="00934F1C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010C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6004"/>
    <w:rsid w:val="0096677D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384F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5E4B"/>
    <w:rsid w:val="009B6153"/>
    <w:rsid w:val="009B7708"/>
    <w:rsid w:val="009C0A23"/>
    <w:rsid w:val="009C2E32"/>
    <w:rsid w:val="009C397A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945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353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16FB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10A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E65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672"/>
    <w:rsid w:val="00A96A09"/>
    <w:rsid w:val="00AA0497"/>
    <w:rsid w:val="00AA0955"/>
    <w:rsid w:val="00AA0E2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561"/>
    <w:rsid w:val="00AB67A6"/>
    <w:rsid w:val="00AB6C64"/>
    <w:rsid w:val="00AB79D9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BF8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32"/>
    <w:rsid w:val="00B12088"/>
    <w:rsid w:val="00B128A7"/>
    <w:rsid w:val="00B12E64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36668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1BC5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3B6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1FAE"/>
    <w:rsid w:val="00B92FFE"/>
    <w:rsid w:val="00B93BBA"/>
    <w:rsid w:val="00B94445"/>
    <w:rsid w:val="00B9493B"/>
    <w:rsid w:val="00B94C6A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E7D66"/>
    <w:rsid w:val="00BF094D"/>
    <w:rsid w:val="00BF0CB2"/>
    <w:rsid w:val="00BF1BF2"/>
    <w:rsid w:val="00BF1D36"/>
    <w:rsid w:val="00BF2436"/>
    <w:rsid w:val="00BF2E8D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206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61A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6885"/>
    <w:rsid w:val="00C675EB"/>
    <w:rsid w:val="00C676EA"/>
    <w:rsid w:val="00C700FE"/>
    <w:rsid w:val="00C710D3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D5C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A0"/>
    <w:rsid w:val="00CB63DB"/>
    <w:rsid w:val="00CB677D"/>
    <w:rsid w:val="00CB67B8"/>
    <w:rsid w:val="00CB6B06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205"/>
    <w:rsid w:val="00CC76FA"/>
    <w:rsid w:val="00CD03D0"/>
    <w:rsid w:val="00CD04D5"/>
    <w:rsid w:val="00CD1B5B"/>
    <w:rsid w:val="00CD3C27"/>
    <w:rsid w:val="00CD4084"/>
    <w:rsid w:val="00CD59BF"/>
    <w:rsid w:val="00CD6E3C"/>
    <w:rsid w:val="00CD6EBE"/>
    <w:rsid w:val="00CD74BA"/>
    <w:rsid w:val="00CE0B55"/>
    <w:rsid w:val="00CE0E3E"/>
    <w:rsid w:val="00CE12A6"/>
    <w:rsid w:val="00CE15D9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5B7E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2F67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AA0"/>
    <w:rsid w:val="00D72E79"/>
    <w:rsid w:val="00D732F1"/>
    <w:rsid w:val="00D74279"/>
    <w:rsid w:val="00D74361"/>
    <w:rsid w:val="00D74960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0A4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CD3"/>
    <w:rsid w:val="00D95E62"/>
    <w:rsid w:val="00D97119"/>
    <w:rsid w:val="00D974E4"/>
    <w:rsid w:val="00D97A46"/>
    <w:rsid w:val="00D97B49"/>
    <w:rsid w:val="00DA05D5"/>
    <w:rsid w:val="00DA0924"/>
    <w:rsid w:val="00DA0C79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396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270F"/>
    <w:rsid w:val="00DF5638"/>
    <w:rsid w:val="00DF5C9E"/>
    <w:rsid w:val="00DF63C8"/>
    <w:rsid w:val="00DF64CA"/>
    <w:rsid w:val="00DF6588"/>
    <w:rsid w:val="00DF6C92"/>
    <w:rsid w:val="00DF7FFE"/>
    <w:rsid w:val="00E00661"/>
    <w:rsid w:val="00E01E80"/>
    <w:rsid w:val="00E02122"/>
    <w:rsid w:val="00E02AD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5C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7D3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6C99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3EEC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9A4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2EA3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802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A7E60"/>
    <w:rsid w:val="00FB02D2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19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D8613D92-A2D1-47B5-AFCF-CC3C46FE4B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Testosterone - Topical and Nasal TGC PA 1370-A UDR 03-2024a-V</vt:lpstr>
    </vt:vector>
  </TitlesOfParts>
  <Company>PCS Health Systems</Company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Testosterone - Topical and Nasal TGC PA 1370-A</dc:title>
  <dc:subject/>
  <dc:creator>CVS Caremark</dc:creator>
  <cp:keywords/>
  <cp:lastModifiedBy>Huerta, Linda M</cp:lastModifiedBy>
  <cp:revision>3</cp:revision>
  <cp:lastPrinted>2024-04-19T07:49:00Z</cp:lastPrinted>
  <dcterms:created xsi:type="dcterms:W3CDTF">2025-06-26T17:26:00Z</dcterms:created>
  <dcterms:modified xsi:type="dcterms:W3CDTF">2025-06-26T17:27:00Z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768000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